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FA2" w:rsidRPr="00FC3A05" w:rsidRDefault="00D82C59" w:rsidP="00D82C59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C3A05">
        <w:rPr>
          <w:rFonts w:asciiTheme="majorHAnsi" w:hAnsiTheme="majorHAnsi" w:cstheme="maj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E1A8A72" wp14:editId="7B3DE80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40829" cy="485299"/>
            <wp:effectExtent l="0" t="0" r="0" b="0"/>
            <wp:wrapSquare wrapText="bothSides"/>
            <wp:docPr id="18" name="Picture 18" descr="C:\Users\emmagale\AppData\Local\Microsoft\Windows\INetCache\Content.MSO\64179C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gale\AppData\Local\Microsoft\Windows\INetCache\Content.MSO\64179C7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29" cy="48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3A05">
        <w:rPr>
          <w:rFonts w:asciiTheme="minorHAnsi" w:hAnsiTheme="minorHAnsi" w:cstheme="minorHAnsi"/>
          <w:b/>
          <w:sz w:val="20"/>
          <w:szCs w:val="20"/>
          <w:u w:val="single"/>
        </w:rPr>
        <w:t>Spelling Lists</w:t>
      </w:r>
    </w:p>
    <w:p w:rsidR="00D82C59" w:rsidRPr="00FC3A05" w:rsidRDefault="009F1687" w:rsidP="00D82C59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Year</w:t>
      </w:r>
      <w:r w:rsidR="00C03B86">
        <w:rPr>
          <w:rFonts w:asciiTheme="minorHAnsi" w:hAnsiTheme="minorHAnsi" w:cstheme="minorHAnsi"/>
          <w:sz w:val="20"/>
          <w:szCs w:val="20"/>
          <w:u w:val="single"/>
        </w:rPr>
        <w:t xml:space="preserve"> 6</w:t>
      </w:r>
      <w:r w:rsidR="00516FA2" w:rsidRPr="00FC3A0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518F8" w:rsidRPr="00FC3A05">
        <w:rPr>
          <w:rFonts w:asciiTheme="minorHAnsi" w:hAnsiTheme="minorHAnsi" w:cstheme="minorHAnsi"/>
          <w:sz w:val="20"/>
          <w:szCs w:val="20"/>
          <w:u w:val="single"/>
        </w:rPr>
        <w:t>Statutory National Curriculum Spellings</w:t>
      </w:r>
    </w:p>
    <w:p w:rsidR="00D82C59" w:rsidRPr="00FC3A05" w:rsidRDefault="00D82C59" w:rsidP="00D82C59">
      <w:pPr>
        <w:rPr>
          <w:rFonts w:asciiTheme="minorHAnsi" w:hAnsiTheme="minorHAnsi" w:cstheme="minorHAnsi"/>
          <w:sz w:val="20"/>
          <w:szCs w:val="20"/>
        </w:rPr>
      </w:pPr>
    </w:p>
    <w:p w:rsidR="00AE34EC" w:rsidRPr="00475AF6" w:rsidRDefault="00AE34EC" w:rsidP="009518F8">
      <w:pPr>
        <w:rPr>
          <w:rFonts w:asciiTheme="minorHAnsi" w:hAnsiTheme="minorHAnsi" w:cstheme="minorHAnsi"/>
        </w:rPr>
      </w:pPr>
      <w:r w:rsidRPr="00FC3A05">
        <w:rPr>
          <w:rFonts w:asciiTheme="minorHAnsi" w:hAnsiTheme="minorHAnsi" w:cstheme="minorHAnsi"/>
          <w:sz w:val="20"/>
          <w:szCs w:val="20"/>
        </w:rPr>
        <w:t xml:space="preserve">These words have been divided into half termly spellings. </w:t>
      </w:r>
      <w:r w:rsidR="00FC3A05" w:rsidRPr="00FC3A05">
        <w:rPr>
          <w:rFonts w:asciiTheme="minorHAnsi" w:hAnsiTheme="minorHAnsi" w:cstheme="minorHAnsi"/>
          <w:sz w:val="20"/>
          <w:szCs w:val="20"/>
        </w:rPr>
        <w:t xml:space="preserve">Children must know the meaning of each word as well as how to spell them. </w:t>
      </w:r>
      <w:r w:rsidRPr="00FC3A05">
        <w:rPr>
          <w:rFonts w:asciiTheme="minorHAnsi" w:hAnsiTheme="minorHAnsi" w:cstheme="minorHAnsi"/>
          <w:sz w:val="20"/>
          <w:szCs w:val="20"/>
        </w:rPr>
        <w:t>We encourage children to use these words in their writing.</w:t>
      </w:r>
      <w:r w:rsidRPr="00475AF6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09"/>
        <w:gridCol w:w="2409"/>
        <w:gridCol w:w="2409"/>
        <w:gridCol w:w="2409"/>
        <w:gridCol w:w="2409"/>
      </w:tblGrid>
      <w:tr w:rsidR="009518F8" w:rsidRPr="00D82C59" w:rsidTr="00D82C59">
        <w:tc>
          <w:tcPr>
            <w:tcW w:w="2409" w:type="dxa"/>
            <w:shd w:val="clear" w:color="auto" w:fill="auto"/>
          </w:tcPr>
          <w:p w:rsidR="009518F8" w:rsidRPr="00C03B86" w:rsidRDefault="00D82C59" w:rsidP="00D82C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Autumn </w:t>
            </w:r>
            <w:r w:rsidR="009518F8"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518F8" w:rsidRPr="00C03B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st</w:t>
            </w:r>
            <w:r w:rsidR="009518F8"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half</w:t>
            </w:r>
          </w:p>
        </w:tc>
        <w:tc>
          <w:tcPr>
            <w:tcW w:w="2409" w:type="dxa"/>
            <w:shd w:val="clear" w:color="auto" w:fill="auto"/>
          </w:tcPr>
          <w:p w:rsidR="009518F8" w:rsidRPr="00C03B86" w:rsidRDefault="009518F8" w:rsidP="006F47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>Autumn 2</w:t>
            </w:r>
            <w:r w:rsidRPr="00C03B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nd</w:t>
            </w: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half</w:t>
            </w:r>
          </w:p>
        </w:tc>
        <w:tc>
          <w:tcPr>
            <w:tcW w:w="2409" w:type="dxa"/>
            <w:shd w:val="clear" w:color="auto" w:fill="auto"/>
          </w:tcPr>
          <w:p w:rsidR="009518F8" w:rsidRPr="00C03B86" w:rsidRDefault="009518F8" w:rsidP="00D82C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>Spring 1</w:t>
            </w:r>
            <w:r w:rsidRPr="00C03B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st</w:t>
            </w: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half</w:t>
            </w:r>
          </w:p>
        </w:tc>
        <w:tc>
          <w:tcPr>
            <w:tcW w:w="2409" w:type="dxa"/>
            <w:shd w:val="clear" w:color="auto" w:fill="auto"/>
          </w:tcPr>
          <w:p w:rsidR="009518F8" w:rsidRPr="00C03B86" w:rsidRDefault="009518F8" w:rsidP="00D82C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>Spring</w:t>
            </w:r>
            <w:r w:rsidR="00D82C59"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  <w:r w:rsidRPr="00C03B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nd</w:t>
            </w: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half</w:t>
            </w:r>
          </w:p>
        </w:tc>
        <w:tc>
          <w:tcPr>
            <w:tcW w:w="2409" w:type="dxa"/>
            <w:shd w:val="clear" w:color="auto" w:fill="auto"/>
          </w:tcPr>
          <w:p w:rsidR="009518F8" w:rsidRPr="00C03B86" w:rsidRDefault="009518F8" w:rsidP="00D82C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>Summer 1</w:t>
            </w:r>
            <w:r w:rsidRPr="00C03B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st</w:t>
            </w:r>
            <w:r w:rsidRPr="00C03B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half</w:t>
            </w:r>
          </w:p>
        </w:tc>
        <w:tc>
          <w:tcPr>
            <w:tcW w:w="2409" w:type="dxa"/>
            <w:shd w:val="clear" w:color="auto" w:fill="auto"/>
          </w:tcPr>
          <w:p w:rsidR="009518F8" w:rsidRPr="00884051" w:rsidRDefault="009518F8" w:rsidP="00D82C5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84051">
              <w:rPr>
                <w:rFonts w:asciiTheme="majorHAnsi" w:hAnsiTheme="majorHAnsi" w:cstheme="majorHAnsi"/>
                <w:b/>
                <w:sz w:val="22"/>
                <w:szCs w:val="22"/>
              </w:rPr>
              <w:t>Summer 2</w:t>
            </w:r>
            <w:r w:rsidRPr="00884051">
              <w:rPr>
                <w:rFonts w:asciiTheme="majorHAnsi" w:hAnsiTheme="majorHAnsi" w:cstheme="majorHAnsi"/>
                <w:b/>
                <w:sz w:val="22"/>
                <w:szCs w:val="22"/>
                <w:vertAlign w:val="superscript"/>
              </w:rPr>
              <w:t>nd</w:t>
            </w:r>
            <w:r w:rsidRPr="0088405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half</w:t>
            </w:r>
          </w:p>
        </w:tc>
      </w:tr>
      <w:tr w:rsidR="00C03B86" w:rsidRPr="00D82C59" w:rsidTr="00FC3A05">
        <w:trPr>
          <w:trHeight w:val="2438"/>
        </w:trPr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accommodation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accompany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according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desperate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disastrous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embarrass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exaggerate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foreign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harass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occur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aggressive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apparent 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guarantee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interrupt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leisure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marvellous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necessary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occupy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Cemetery.</w:t>
            </w: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appreciate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attached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communicate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privilege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profession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queue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sacrifice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category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correspond</w:t>
            </w: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average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community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secretary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sufficient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suggest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temperature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variety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vegetable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vehicle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yacht</w:t>
            </w:r>
            <w:proofErr w:type="gramEnd"/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Revise all previous years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C03B86" w:rsidRPr="00D82C59" w:rsidRDefault="00C03B86" w:rsidP="00C03B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Revise all previous years</w:t>
            </w:r>
          </w:p>
        </w:tc>
      </w:tr>
      <w:tr w:rsidR="00FC3A05" w:rsidRPr="00D82C59" w:rsidTr="001868B0">
        <w:trPr>
          <w:trHeight w:val="283"/>
        </w:trPr>
        <w:tc>
          <w:tcPr>
            <w:tcW w:w="14454" w:type="dxa"/>
            <w:gridSpan w:val="6"/>
            <w:shd w:val="clear" w:color="auto" w:fill="auto"/>
          </w:tcPr>
          <w:p w:rsidR="00FC3A05" w:rsidRPr="00C03B86" w:rsidRDefault="00FC3A05" w:rsidP="00FC3A05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C03B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Spelling Patterns</w:t>
            </w:r>
          </w:p>
        </w:tc>
      </w:tr>
      <w:tr w:rsidR="00C03B86" w:rsidRPr="00D82C59" w:rsidTr="00D82C59">
        <w:trPr>
          <w:trHeight w:val="2744"/>
        </w:trPr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widowControl w:val="0"/>
              <w:spacing w:before="61" w:line="250" w:lineRule="auto"/>
              <w:ind w:left="103" w:right="1489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3B86">
              <w:rPr>
                <w:rFonts w:asciiTheme="minorHAnsi" w:hAnsiTheme="minorHAnsi" w:cstheme="minorHAnsi"/>
                <w:color w:val="231F20"/>
                <w:sz w:val="22"/>
                <w:szCs w:val="22"/>
                <w:lang w:val="en-US"/>
              </w:rPr>
              <w:t>Revise</w:t>
            </w:r>
          </w:p>
          <w:p w:rsidR="00C03B86" w:rsidRPr="00C03B86" w:rsidRDefault="00C03B86" w:rsidP="00C03B86">
            <w:pPr>
              <w:widowControl w:val="0"/>
              <w:ind w:left="103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pacing w:val="-4"/>
                <w:sz w:val="22"/>
                <w:szCs w:val="22"/>
                <w:lang w:val="en-US"/>
              </w:rPr>
              <w:t>W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  <w:lang w:val="en-US"/>
              </w:rPr>
              <w:t>ords ending ‘-able’/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‘-ably’, and 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ible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’/‘-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ibly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e.g. Horribly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predictably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  <w:p w:rsidR="00C03B86" w:rsidRPr="00C03B86" w:rsidRDefault="00C03B86" w:rsidP="00C03B86">
            <w:pPr>
              <w:widowControl w:val="0"/>
              <w:spacing w:before="61" w:line="250" w:lineRule="auto"/>
              <w:ind w:right="1489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3B86">
              <w:rPr>
                <w:rFonts w:asciiTheme="minorHAnsi" w:hAnsiTheme="minorHAnsi" w:cstheme="minorHAnsi"/>
                <w:color w:val="231F20"/>
                <w:spacing w:val="-23"/>
                <w:sz w:val="22"/>
                <w:szCs w:val="22"/>
                <w:lang w:val="en-US"/>
              </w:rPr>
              <w:t>T</w:t>
            </w:r>
            <w:r w:rsidRPr="00C03B86">
              <w:rPr>
                <w:rFonts w:asciiTheme="minorHAnsi" w:hAnsiTheme="minorHAnsi" w:cstheme="minorHAnsi"/>
                <w:color w:val="231F20"/>
                <w:sz w:val="22"/>
                <w:szCs w:val="22"/>
                <w:lang w:val="en-US"/>
              </w:rPr>
              <w:t>each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pacing w:val="-4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Adding suffixes beginning with vowels to words ending in 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fe</w:t>
            </w:r>
            <w:r w:rsidRPr="00C03B86">
              <w:rPr>
                <w:rFonts w:asciiTheme="minorHAnsi" w:hAnsiTheme="minorHAnsi" w:cstheme="minorHAnsi"/>
                <w:bCs/>
                <w:color w:val="231F20"/>
                <w:spacing w:val="7"/>
                <w:sz w:val="22"/>
                <w:szCs w:val="22"/>
              </w:rPr>
              <w:t>r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 e.g. Transfer, transferred, transferring. Referee, refereeing</w:t>
            </w:r>
            <w:r w:rsidRPr="00C03B86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Homophones (‘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ce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’/‘se’)</w:t>
            </w:r>
            <w:bookmarkStart w:id="0" w:name="_GoBack"/>
            <w:bookmarkEnd w:id="0"/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proofErr w:type="gram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e.g</w:t>
            </w:r>
            <w:proofErr w:type="gram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 xml:space="preserve">. practice/ practise. 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  <w:p w:rsidR="00C03B86" w:rsidRPr="00C03B86" w:rsidRDefault="00C03B86" w:rsidP="00C03B86">
            <w:pPr>
              <w:widowControl w:val="0"/>
              <w:ind w:left="10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  <w:lang w:val="en-US"/>
              </w:rPr>
              <w:t>Endings that sound like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/</w:t>
            </w:r>
            <w:proofErr w:type="spellStart"/>
            <w:r w:rsidRPr="00C03B8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ʃəs</w:t>
            </w:r>
            <w:proofErr w:type="spellEnd"/>
            <w:r w:rsidRPr="00C03B86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/ 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spelt 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cious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</w:t>
            </w:r>
            <w:r w:rsidRPr="00C03B86">
              <w:rPr>
                <w:rFonts w:asciiTheme="minorHAnsi" w:hAnsiTheme="minorHAnsi" w:cstheme="minorHAnsi"/>
                <w:bCs/>
                <w:color w:val="231F20"/>
                <w:spacing w:val="-11"/>
                <w:sz w:val="22"/>
                <w:szCs w:val="22"/>
              </w:rPr>
              <w:t xml:space="preserve"> 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or 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tious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e.g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 xml:space="preserve"> Spacious 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infectious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pacing w:val="-4"/>
                <w:sz w:val="22"/>
                <w:szCs w:val="22"/>
              </w:rPr>
              <w:t>W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ords with ‘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ough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</w:t>
            </w:r>
            <w:r w:rsidRPr="00C03B86">
              <w:rPr>
                <w:rFonts w:asciiTheme="minorHAnsi" w:hAnsiTheme="minorHAnsi" w:cstheme="minorHAnsi"/>
                <w:bCs/>
                <w:color w:val="231F20"/>
                <w:spacing w:val="-11"/>
                <w:sz w:val="22"/>
                <w:szCs w:val="22"/>
              </w:rPr>
              <w:t xml:space="preserve"> 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 xml:space="preserve">letter string. 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Eg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 xml:space="preserve">. </w:t>
            </w:r>
            <w:proofErr w:type="gram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dough</w:t>
            </w:r>
            <w:proofErr w:type="gram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, rough, bough, plough, thorough.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pacing w:val="-4"/>
                <w:sz w:val="22"/>
                <w:szCs w:val="22"/>
              </w:rPr>
              <w:t>W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ords ending 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cial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</w:t>
            </w:r>
            <w:r w:rsidRPr="00C03B86">
              <w:rPr>
                <w:rFonts w:asciiTheme="minorHAnsi" w:hAnsiTheme="minorHAnsi" w:cstheme="minorHAnsi"/>
                <w:bCs/>
                <w:color w:val="231F20"/>
                <w:spacing w:val="-12"/>
                <w:sz w:val="22"/>
                <w:szCs w:val="22"/>
              </w:rPr>
              <w:t xml:space="preserve"> 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and 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tial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e.g. special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essential</w:t>
            </w: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Homophones (</w:t>
            </w:r>
            <w:r w:rsidRPr="00C03B86">
              <w:rPr>
                <w:rFonts w:asciiTheme="minorHAnsi" w:hAnsiTheme="minorHAnsi" w:cstheme="minorHAnsi"/>
                <w:bCs/>
                <w:i/>
                <w:color w:val="231F20"/>
                <w:sz w:val="22"/>
                <w:szCs w:val="22"/>
              </w:rPr>
              <w:t>dessert/ desert, stationery/ stationar</w:t>
            </w:r>
            <w:r w:rsidRPr="00C03B86">
              <w:rPr>
                <w:rFonts w:asciiTheme="minorHAnsi" w:hAnsiTheme="minorHAnsi" w:cstheme="minorHAnsi"/>
                <w:bCs/>
                <w:i/>
                <w:color w:val="231F20"/>
                <w:spacing w:val="-8"/>
                <w:sz w:val="22"/>
                <w:szCs w:val="22"/>
              </w:rPr>
              <w:t>y</w:t>
            </w:r>
            <w:r w:rsidRPr="00C03B86">
              <w:rPr>
                <w:rFonts w:asciiTheme="minorHAnsi" w:hAnsiTheme="minorHAnsi" w:cstheme="minorHAnsi"/>
                <w:bCs/>
                <w:i/>
                <w:color w:val="231F20"/>
                <w:sz w:val="22"/>
                <w:szCs w:val="22"/>
              </w:rPr>
              <w:t>, complement/ compliment, principle/ principal, prophet/profi</w:t>
            </w:r>
            <w:r w:rsidRPr="00C03B86">
              <w:rPr>
                <w:rFonts w:asciiTheme="minorHAnsi" w:hAnsiTheme="minorHAnsi" w:cstheme="minorHAnsi"/>
                <w:bCs/>
                <w:i/>
                <w:color w:val="231F20"/>
                <w:spacing w:val="-1"/>
                <w:sz w:val="22"/>
                <w:szCs w:val="22"/>
              </w:rPr>
              <w:t>t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)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 xml:space="preserve">Generating words from prefixes and Morphology (roots) and entomology (where words originate from and their meaning) e.g. aqua/ aquamarine. </w:t>
            </w: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pacing w:val="-4"/>
                <w:sz w:val="22"/>
                <w:szCs w:val="22"/>
              </w:rPr>
              <w:t>W</w:t>
            </w: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ords ending in ‘ant’, 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ance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 xml:space="preserve"> and ‘-</w:t>
            </w:r>
            <w:proofErr w:type="spell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ancy</w:t>
            </w:r>
            <w:proofErr w:type="spell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’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proofErr w:type="gramStart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e.g</w:t>
            </w:r>
            <w:proofErr w:type="gramEnd"/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 xml:space="preserve">. tolerance, tolerant. 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infant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infancy</w:t>
            </w:r>
          </w:p>
        </w:tc>
        <w:tc>
          <w:tcPr>
            <w:tcW w:w="2409" w:type="dxa"/>
            <w:shd w:val="clear" w:color="auto" w:fill="auto"/>
          </w:tcPr>
          <w:p w:rsidR="00C03B86" w:rsidRPr="00C03B86" w:rsidRDefault="00C03B86" w:rsidP="00C03B86">
            <w:pPr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</w:pPr>
            <w:r w:rsidRPr="00C03B86">
              <w:rPr>
                <w:rFonts w:asciiTheme="majorHAnsi" w:hAnsiTheme="majorHAnsi" w:cstheme="majorHAnsi"/>
                <w:bCs/>
                <w:color w:val="231F20"/>
                <w:spacing w:val="-4"/>
                <w:sz w:val="20"/>
                <w:szCs w:val="20"/>
              </w:rPr>
              <w:t>W</w:t>
            </w:r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ords ending ‘-</w:t>
            </w:r>
            <w:proofErr w:type="spellStart"/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ent</w:t>
            </w:r>
            <w:proofErr w:type="spellEnd"/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’, ‘-</w:t>
            </w:r>
            <w:proofErr w:type="spellStart"/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ence</w:t>
            </w:r>
            <w:proofErr w:type="spellEnd"/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’ and ‘-</w:t>
            </w:r>
            <w:proofErr w:type="spellStart"/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ency</w:t>
            </w:r>
            <w:proofErr w:type="spellEnd"/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’</w:t>
            </w:r>
          </w:p>
          <w:p w:rsidR="00C03B86" w:rsidRPr="00C03B86" w:rsidRDefault="00C03B86" w:rsidP="00C03B86">
            <w:pPr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</w:pPr>
          </w:p>
          <w:p w:rsidR="00C03B86" w:rsidRPr="00C03B86" w:rsidRDefault="00C03B86" w:rsidP="00C03B86">
            <w:pPr>
              <w:widowControl w:val="0"/>
              <w:spacing w:before="3" w:line="130" w:lineRule="exact"/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  <w:lang w:val="en-US"/>
              </w:rPr>
            </w:pPr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  <w:lang w:val="en-US"/>
              </w:rPr>
              <w:t>e.g. coherence</w:t>
            </w:r>
          </w:p>
          <w:p w:rsidR="00C03B86" w:rsidRPr="00C03B86" w:rsidRDefault="00C03B86" w:rsidP="00C03B86">
            <w:pPr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</w:pPr>
          </w:p>
          <w:p w:rsidR="00C03B86" w:rsidRPr="00C03B86" w:rsidRDefault="00C03B86" w:rsidP="00C03B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Homophones (</w:t>
            </w:r>
            <w:r w:rsidRPr="00C03B86">
              <w:rPr>
                <w:rFonts w:asciiTheme="majorHAnsi" w:hAnsiTheme="majorHAnsi" w:cstheme="majorHAnsi"/>
                <w:bCs/>
                <w:i/>
                <w:color w:val="231F20"/>
                <w:sz w:val="20"/>
                <w:szCs w:val="20"/>
              </w:rPr>
              <w:t>draught/ draft, dissent/descent, precede/proceed, wary/ wear</w:t>
            </w:r>
            <w:r w:rsidRPr="00C03B86">
              <w:rPr>
                <w:rFonts w:asciiTheme="majorHAnsi" w:hAnsiTheme="majorHAnsi" w:cstheme="majorHAnsi"/>
                <w:bCs/>
                <w:i/>
                <w:color w:val="231F20"/>
                <w:spacing w:val="-1"/>
                <w:sz w:val="20"/>
                <w:szCs w:val="20"/>
              </w:rPr>
              <w:t>y</w:t>
            </w:r>
            <w:r w:rsidRPr="00C03B86">
              <w:rPr>
                <w:rFonts w:asciiTheme="majorHAnsi" w:hAnsiTheme="majorHAnsi" w:cstheme="majorHAnsi"/>
                <w:bCs/>
                <w:color w:val="231F20"/>
                <w:sz w:val="20"/>
                <w:szCs w:val="20"/>
              </w:rPr>
              <w:t>)</w:t>
            </w:r>
          </w:p>
        </w:tc>
      </w:tr>
      <w:tr w:rsidR="00FC3A05" w:rsidRPr="00D82C59" w:rsidTr="009C545A">
        <w:trPr>
          <w:trHeight w:val="690"/>
        </w:trPr>
        <w:tc>
          <w:tcPr>
            <w:tcW w:w="14454" w:type="dxa"/>
            <w:gridSpan w:val="6"/>
            <w:shd w:val="clear" w:color="auto" w:fill="auto"/>
          </w:tcPr>
          <w:p w:rsidR="00FC3A05" w:rsidRPr="00C03B86" w:rsidRDefault="00FC3A05" w:rsidP="00FC3A0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C03B8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Homophones</w:t>
            </w:r>
          </w:p>
          <w:p w:rsidR="00C03B86" w:rsidRPr="00C03B86" w:rsidRDefault="00C03B86" w:rsidP="00C03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advice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advise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device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and d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evise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licence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license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practice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practise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compliment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complement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desert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dessert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principal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principle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profit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prophet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stationary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stationery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draft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draught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dissent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C03B86">
              <w:rPr>
                <w:rFonts w:asciiTheme="minorHAnsi" w:hAnsiTheme="minorHAnsi" w:cstheme="minorHAnsi"/>
                <w:sz w:val="22"/>
                <w:szCs w:val="22"/>
              </w:rPr>
              <w:t>descent</w:t>
            </w:r>
          </w:p>
          <w:p w:rsidR="00FC3A05" w:rsidRPr="00C03B86" w:rsidRDefault="00FC3A05" w:rsidP="00E91235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475AF6" w:rsidRPr="00D82C59" w:rsidRDefault="00475AF6" w:rsidP="00E91235">
      <w:pPr>
        <w:rPr>
          <w:b/>
          <w:sz w:val="20"/>
          <w:szCs w:val="20"/>
          <w:u w:val="single"/>
        </w:rPr>
      </w:pPr>
    </w:p>
    <w:sectPr w:rsidR="00475AF6" w:rsidRPr="00D82C59" w:rsidSect="00D82C59">
      <w:pgSz w:w="16838" w:h="11906" w:orient="landscape"/>
      <w:pgMar w:top="720" w:right="720" w:bottom="720" w:left="1134" w:header="709" w:footer="709" w:gutter="0"/>
      <w:pgBorders w:offsetFrom="page">
        <w:top w:val="thinThickThinMediumGap" w:sz="24" w:space="24" w:color="385623" w:themeColor="accent6" w:themeShade="80"/>
        <w:left w:val="thinThickThinMediumGap" w:sz="24" w:space="24" w:color="385623" w:themeColor="accent6" w:themeShade="80"/>
        <w:bottom w:val="thinThickThinMediumGap" w:sz="24" w:space="24" w:color="385623" w:themeColor="accent6" w:themeShade="80"/>
        <w:right w:val="thinThickThinMedium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F8"/>
    <w:rsid w:val="000240C7"/>
    <w:rsid w:val="00027D67"/>
    <w:rsid w:val="00035AEA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0165B"/>
    <w:rsid w:val="001131EF"/>
    <w:rsid w:val="00123266"/>
    <w:rsid w:val="00127546"/>
    <w:rsid w:val="00152763"/>
    <w:rsid w:val="00153E4B"/>
    <w:rsid w:val="00170535"/>
    <w:rsid w:val="00170F19"/>
    <w:rsid w:val="00170F37"/>
    <w:rsid w:val="001A4754"/>
    <w:rsid w:val="001D74A7"/>
    <w:rsid w:val="001E235B"/>
    <w:rsid w:val="00212857"/>
    <w:rsid w:val="00230A08"/>
    <w:rsid w:val="0025631C"/>
    <w:rsid w:val="00273B6C"/>
    <w:rsid w:val="002773EF"/>
    <w:rsid w:val="0029226B"/>
    <w:rsid w:val="0029648F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71C9A"/>
    <w:rsid w:val="00383B0E"/>
    <w:rsid w:val="003B18B7"/>
    <w:rsid w:val="003B6659"/>
    <w:rsid w:val="003B73BD"/>
    <w:rsid w:val="003E4BAB"/>
    <w:rsid w:val="00431FC3"/>
    <w:rsid w:val="00475AF6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16FA2"/>
    <w:rsid w:val="00525FF8"/>
    <w:rsid w:val="005333F5"/>
    <w:rsid w:val="005568BB"/>
    <w:rsid w:val="00565814"/>
    <w:rsid w:val="00582C91"/>
    <w:rsid w:val="00590837"/>
    <w:rsid w:val="0059671D"/>
    <w:rsid w:val="00597B2A"/>
    <w:rsid w:val="005A2E8C"/>
    <w:rsid w:val="005C4A2A"/>
    <w:rsid w:val="005C4D8E"/>
    <w:rsid w:val="005D251D"/>
    <w:rsid w:val="005E437E"/>
    <w:rsid w:val="005F078D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5E94"/>
    <w:rsid w:val="006B248F"/>
    <w:rsid w:val="006D10DF"/>
    <w:rsid w:val="006F476E"/>
    <w:rsid w:val="00727CE2"/>
    <w:rsid w:val="007500D8"/>
    <w:rsid w:val="0076612B"/>
    <w:rsid w:val="0078235C"/>
    <w:rsid w:val="00787462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84051"/>
    <w:rsid w:val="00884101"/>
    <w:rsid w:val="0088548C"/>
    <w:rsid w:val="008A40BC"/>
    <w:rsid w:val="008B518E"/>
    <w:rsid w:val="008C0AEB"/>
    <w:rsid w:val="008D4A69"/>
    <w:rsid w:val="008E0EE6"/>
    <w:rsid w:val="008F482C"/>
    <w:rsid w:val="00901EF8"/>
    <w:rsid w:val="009267D8"/>
    <w:rsid w:val="00941E09"/>
    <w:rsid w:val="0095041A"/>
    <w:rsid w:val="009518F8"/>
    <w:rsid w:val="00964789"/>
    <w:rsid w:val="0097163B"/>
    <w:rsid w:val="00972266"/>
    <w:rsid w:val="009B7ECC"/>
    <w:rsid w:val="009C48CD"/>
    <w:rsid w:val="009D3E17"/>
    <w:rsid w:val="009F1687"/>
    <w:rsid w:val="009F56CC"/>
    <w:rsid w:val="00A056AE"/>
    <w:rsid w:val="00A12F53"/>
    <w:rsid w:val="00A212A2"/>
    <w:rsid w:val="00A41F02"/>
    <w:rsid w:val="00A42BF5"/>
    <w:rsid w:val="00AB381B"/>
    <w:rsid w:val="00AB4FDD"/>
    <w:rsid w:val="00AC55E5"/>
    <w:rsid w:val="00AC7A58"/>
    <w:rsid w:val="00AD1514"/>
    <w:rsid w:val="00AE34EC"/>
    <w:rsid w:val="00B107AA"/>
    <w:rsid w:val="00B26610"/>
    <w:rsid w:val="00B7614E"/>
    <w:rsid w:val="00B77168"/>
    <w:rsid w:val="00B864AA"/>
    <w:rsid w:val="00B87E6F"/>
    <w:rsid w:val="00B94922"/>
    <w:rsid w:val="00B9745C"/>
    <w:rsid w:val="00BC00B4"/>
    <w:rsid w:val="00BC6650"/>
    <w:rsid w:val="00BE1123"/>
    <w:rsid w:val="00BF6354"/>
    <w:rsid w:val="00C03B86"/>
    <w:rsid w:val="00C04480"/>
    <w:rsid w:val="00C24C95"/>
    <w:rsid w:val="00C53E96"/>
    <w:rsid w:val="00C70BC5"/>
    <w:rsid w:val="00C75CDE"/>
    <w:rsid w:val="00C92E6E"/>
    <w:rsid w:val="00CC0597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82C59"/>
    <w:rsid w:val="00D92DB5"/>
    <w:rsid w:val="00DA700A"/>
    <w:rsid w:val="00DA7408"/>
    <w:rsid w:val="00DA7EB0"/>
    <w:rsid w:val="00DB4844"/>
    <w:rsid w:val="00DD3CFC"/>
    <w:rsid w:val="00E173A9"/>
    <w:rsid w:val="00E42356"/>
    <w:rsid w:val="00E450CE"/>
    <w:rsid w:val="00E47DD1"/>
    <w:rsid w:val="00E5067A"/>
    <w:rsid w:val="00E762F7"/>
    <w:rsid w:val="00E91235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92207"/>
    <w:rsid w:val="00F959BE"/>
    <w:rsid w:val="00FC3A05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0A5D0"/>
  <w15:chartTrackingRefBased/>
  <w15:docId w15:val="{162DB456-62B4-4D5C-8D47-98DCF535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AE34EC"/>
  </w:style>
  <w:style w:type="table" w:customStyle="1" w:styleId="TableGrid1">
    <w:name w:val="Table Grid1"/>
    <w:basedOn w:val="TableNormal"/>
    <w:next w:val="TableGrid"/>
    <w:uiPriority w:val="39"/>
    <w:rsid w:val="00AE34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75A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JoinitC1</Template>
  <TotalTime>0</TotalTime>
  <Pages>1</Pages>
  <Words>272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Windows User</dc:creator>
  <cp:keywords/>
  <cp:lastModifiedBy>Emma Gale</cp:lastModifiedBy>
  <cp:revision>2</cp:revision>
  <cp:lastPrinted>2018-04-16T16:30:00Z</cp:lastPrinted>
  <dcterms:created xsi:type="dcterms:W3CDTF">2020-11-23T11:17:00Z</dcterms:created>
  <dcterms:modified xsi:type="dcterms:W3CDTF">2020-11-23T11:17:00Z</dcterms:modified>
</cp:coreProperties>
</file>